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1560"/>
        <w:gridCol w:w="1842"/>
        <w:gridCol w:w="2824"/>
      </w:tblGrid>
      <w:tr w:rsidR="00DD6903" w:rsidRPr="005053C2" w14:paraId="6D4347C0" w14:textId="77777777" w:rsidTr="005D4FA2">
        <w:trPr>
          <w:trHeight w:hRule="exact" w:val="4054"/>
        </w:trPr>
        <w:tc>
          <w:tcPr>
            <w:tcW w:w="4821" w:type="dxa"/>
            <w:gridSpan w:val="2"/>
          </w:tcPr>
          <w:p w14:paraId="0AC8DB15" w14:textId="77777777" w:rsidR="007F56C0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 xml:space="preserve">Tervisekassa </w:t>
            </w:r>
          </w:p>
          <w:p w14:paraId="7D3C8B4C" w14:textId="7617540B" w:rsidR="00C857CD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>Riia 142,</w:t>
            </w:r>
          </w:p>
          <w:p w14:paraId="4350D728" w14:textId="77777777" w:rsidR="00C857CD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>Tartu 50411</w:t>
            </w:r>
          </w:p>
          <w:p w14:paraId="5F7C4734" w14:textId="0D0F1792" w:rsidR="00C857CD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 xml:space="preserve">E-post: </w:t>
            </w:r>
            <w:hyperlink r:id="rId7" w:history="1">
              <w:r w:rsidRPr="005053C2">
                <w:rPr>
                  <w:rStyle w:val="Hyperlink"/>
                  <w:sz w:val="20"/>
                  <w:szCs w:val="20"/>
                  <w:u w:val="none"/>
                </w:rPr>
                <w:t>liina.siirus@tervisekassa.ee</w:t>
              </w:r>
            </w:hyperlink>
          </w:p>
          <w:p w14:paraId="28AF43CD" w14:textId="77777777" w:rsidR="00C857CD" w:rsidRPr="005053C2" w:rsidRDefault="00C857CD" w:rsidP="00DD6903">
            <w:pPr>
              <w:rPr>
                <w:sz w:val="20"/>
                <w:szCs w:val="20"/>
              </w:rPr>
            </w:pPr>
          </w:p>
          <w:p w14:paraId="6D2DD3A9" w14:textId="77777777" w:rsidR="00C857CD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>Sotsiaalministeerium</w:t>
            </w:r>
          </w:p>
          <w:p w14:paraId="339D41DA" w14:textId="77777777" w:rsidR="00C857CD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>Suur-Ameerika 1,</w:t>
            </w:r>
          </w:p>
          <w:p w14:paraId="6F3C8E99" w14:textId="77777777" w:rsidR="00C857CD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>Tallinn 10122</w:t>
            </w:r>
          </w:p>
          <w:p w14:paraId="39C471C3" w14:textId="22194EBD" w:rsidR="00C857CD" w:rsidRPr="005053C2" w:rsidRDefault="00C857CD" w:rsidP="00DD6903">
            <w:pPr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>E-post: info@sm.ee</w:t>
            </w:r>
          </w:p>
        </w:tc>
        <w:tc>
          <w:tcPr>
            <w:tcW w:w="1842" w:type="dxa"/>
          </w:tcPr>
          <w:p w14:paraId="404D17F6" w14:textId="77777777" w:rsidR="00DD6903" w:rsidRPr="005053C2" w:rsidRDefault="00DD6903" w:rsidP="00D024B0">
            <w:pPr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14:paraId="689D1534" w14:textId="77777777" w:rsidR="00DD6903" w:rsidRPr="005053C2" w:rsidRDefault="00DD6903" w:rsidP="00D024B0">
            <w:pPr>
              <w:rPr>
                <w:sz w:val="20"/>
                <w:szCs w:val="20"/>
              </w:rPr>
            </w:pPr>
          </w:p>
        </w:tc>
      </w:tr>
      <w:tr w:rsidR="00DD6903" w:rsidRPr="005053C2" w14:paraId="4004E30C" w14:textId="77777777" w:rsidTr="005D4FA2">
        <w:trPr>
          <w:trHeight w:hRule="exact" w:val="1276"/>
        </w:trPr>
        <w:tc>
          <w:tcPr>
            <w:tcW w:w="3261" w:type="dxa"/>
          </w:tcPr>
          <w:p w14:paraId="191386D3" w14:textId="34083B24" w:rsidR="00DD6903" w:rsidRPr="005053C2" w:rsidRDefault="00DD6903" w:rsidP="00FF3470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D28059A" w14:textId="536C6D40" w:rsidR="00DD6903" w:rsidRPr="005053C2" w:rsidRDefault="00DD6903" w:rsidP="00DD6903">
            <w:pPr>
              <w:rPr>
                <w:sz w:val="20"/>
                <w:szCs w:val="20"/>
              </w:rPr>
            </w:pPr>
          </w:p>
          <w:p w14:paraId="236B9A39" w14:textId="01A81B07" w:rsidR="00DD6903" w:rsidRPr="005053C2" w:rsidRDefault="00DD6903" w:rsidP="00DD6903">
            <w:pPr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14:paraId="720835CD" w14:textId="13E50138" w:rsidR="00DD6903" w:rsidRPr="005053C2" w:rsidRDefault="00FF3470" w:rsidP="00584651">
            <w:pPr>
              <w:jc w:val="right"/>
              <w:rPr>
                <w:sz w:val="20"/>
                <w:szCs w:val="20"/>
              </w:rPr>
            </w:pPr>
            <w:r w:rsidRPr="005053C2">
              <w:rPr>
                <w:sz w:val="20"/>
                <w:szCs w:val="20"/>
              </w:rPr>
              <w:t>Tallinn</w:t>
            </w:r>
            <w:r w:rsidR="00DD6903" w:rsidRPr="005053C2">
              <w:rPr>
                <w:sz w:val="20"/>
                <w:szCs w:val="20"/>
              </w:rPr>
              <w:t xml:space="preserve">, </w:t>
            </w:r>
            <w:r w:rsidR="007E6206" w:rsidRPr="005053C2">
              <w:rPr>
                <w:sz w:val="20"/>
                <w:szCs w:val="20"/>
              </w:rPr>
              <w:fldChar w:fldCharType="begin"/>
            </w:r>
            <w:r w:rsidR="007E6206" w:rsidRPr="005053C2">
              <w:rPr>
                <w:sz w:val="20"/>
                <w:szCs w:val="20"/>
              </w:rPr>
              <w:instrText xml:space="preserve"> CREATEDATE  \@ "d MMMM yyyy"  \* MERGEFORMAT </w:instrText>
            </w:r>
            <w:r w:rsidR="007E6206" w:rsidRPr="005053C2">
              <w:rPr>
                <w:sz w:val="20"/>
                <w:szCs w:val="20"/>
              </w:rPr>
              <w:fldChar w:fldCharType="separate"/>
            </w:r>
            <w:r w:rsidR="00C857CD" w:rsidRPr="005053C2">
              <w:rPr>
                <w:sz w:val="20"/>
                <w:szCs w:val="20"/>
              </w:rPr>
              <w:t>11</w:t>
            </w:r>
            <w:r w:rsidR="007E6206" w:rsidRPr="005053C2">
              <w:rPr>
                <w:sz w:val="20"/>
                <w:szCs w:val="20"/>
              </w:rPr>
              <w:t xml:space="preserve"> </w:t>
            </w:r>
            <w:r w:rsidR="00C857CD" w:rsidRPr="005053C2">
              <w:rPr>
                <w:sz w:val="20"/>
                <w:szCs w:val="20"/>
              </w:rPr>
              <w:t>September</w:t>
            </w:r>
            <w:r w:rsidR="007E6206" w:rsidRPr="005053C2">
              <w:rPr>
                <w:sz w:val="20"/>
                <w:szCs w:val="20"/>
              </w:rPr>
              <w:t xml:space="preserve"> 2024</w:t>
            </w:r>
            <w:r w:rsidR="007E6206" w:rsidRPr="005053C2">
              <w:rPr>
                <w:sz w:val="20"/>
                <w:szCs w:val="20"/>
              </w:rPr>
              <w:fldChar w:fldCharType="end"/>
            </w:r>
          </w:p>
        </w:tc>
      </w:tr>
    </w:tbl>
    <w:p w14:paraId="4A04A514" w14:textId="1D84059F" w:rsidR="00C857CD" w:rsidRPr="00657F03" w:rsidRDefault="00316A70" w:rsidP="00657F03">
      <w:pPr>
        <w:pStyle w:val="Title"/>
        <w:jc w:val="both"/>
        <w:rPr>
          <w:b/>
          <w:bCs/>
          <w:sz w:val="20"/>
          <w:szCs w:val="20"/>
        </w:rPr>
      </w:pPr>
      <w:r w:rsidRPr="00316A70">
        <w:rPr>
          <w:b/>
          <w:bCs/>
          <w:sz w:val="20"/>
          <w:szCs w:val="20"/>
        </w:rPr>
        <w:t>„Ravikindlustuse seaduse ja ravimiseaduse alusel kehtestatud ravimitega seotud määruste muutmi</w:t>
      </w:r>
      <w:r>
        <w:rPr>
          <w:b/>
          <w:bCs/>
          <w:sz w:val="20"/>
          <w:szCs w:val="20"/>
        </w:rPr>
        <w:t>s</w:t>
      </w:r>
      <w:r w:rsidRPr="00316A70">
        <w:rPr>
          <w:b/>
          <w:bCs/>
          <w:sz w:val="20"/>
          <w:szCs w:val="20"/>
        </w:rPr>
        <w:t>e“</w:t>
      </w:r>
      <w:r>
        <w:rPr>
          <w:b/>
          <w:bCs/>
          <w:sz w:val="20"/>
          <w:szCs w:val="20"/>
        </w:rPr>
        <w:t xml:space="preserve"> eelnõu</w:t>
      </w:r>
      <w:r w:rsidR="005053C2">
        <w:rPr>
          <w:b/>
          <w:bCs/>
          <w:sz w:val="20"/>
          <w:szCs w:val="20"/>
        </w:rPr>
        <w:t xml:space="preserve"> muudatusettepanek</w:t>
      </w:r>
    </w:p>
    <w:p w14:paraId="699F0B9C" w14:textId="48B04C1A" w:rsidR="005053C2" w:rsidRDefault="0072778E" w:rsidP="005053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Kirjutame Teile seoses 9. septembril 2024 saadetud e-kirjaga (lisa 1), milles teavitati koostööpartnereid </w:t>
      </w:r>
      <w:r w:rsidRPr="0072778E">
        <w:rPr>
          <w:sz w:val="20"/>
          <w:szCs w:val="20"/>
        </w:rPr>
        <w:t>1.</w:t>
      </w:r>
      <w:r w:rsidR="0046622A">
        <w:rPr>
          <w:sz w:val="20"/>
          <w:szCs w:val="20"/>
        </w:rPr>
        <w:t xml:space="preserve"> oktoobril </w:t>
      </w:r>
      <w:r w:rsidRPr="0072778E">
        <w:rPr>
          <w:sz w:val="20"/>
          <w:szCs w:val="20"/>
        </w:rPr>
        <w:t>2024 jõustuvatest Tervisekassa ravimite loetelu ja ravimite piirhindade muudatustest</w:t>
      </w:r>
      <w:r>
        <w:rPr>
          <w:sz w:val="20"/>
          <w:szCs w:val="20"/>
        </w:rPr>
        <w:t xml:space="preserve">. </w:t>
      </w:r>
      <w:r w:rsidR="005053C2" w:rsidRPr="005053C2">
        <w:rPr>
          <w:sz w:val="20"/>
          <w:szCs w:val="20"/>
        </w:rPr>
        <w:t xml:space="preserve">Me esindame ettevõtet Biogen Netherlands B.V., kes on ravimi Tecfidera müügiloa hoidja. </w:t>
      </w:r>
    </w:p>
    <w:p w14:paraId="65F069FF" w14:textId="77777777" w:rsidR="005053C2" w:rsidRDefault="005053C2" w:rsidP="005053C2">
      <w:pPr>
        <w:jc w:val="both"/>
        <w:rPr>
          <w:sz w:val="20"/>
          <w:szCs w:val="20"/>
        </w:rPr>
      </w:pPr>
    </w:p>
    <w:p w14:paraId="1A7A46ED" w14:textId="792B15AA" w:rsidR="00A04547" w:rsidRDefault="00A04547" w:rsidP="005053C2">
      <w:pPr>
        <w:jc w:val="both"/>
        <w:rPr>
          <w:sz w:val="20"/>
          <w:szCs w:val="20"/>
        </w:rPr>
      </w:pPr>
      <w:r w:rsidRPr="00A04547">
        <w:rPr>
          <w:sz w:val="20"/>
          <w:szCs w:val="20"/>
        </w:rPr>
        <w:t>Ravimile Tecfidera (toimeaine dimetüülfumaraat) on Euroopa komisjoni 30. jaanuaril 2014 tehtud rakendusotsuse alusel välja antud tsentraalne müügiluba. Eesti ravimiregistris on vastav müügiluba registreeritud registreerimisnumbri EU/1/13/837 all, müügiloa andmise kuupäevaga 3. veebruar 2014</w:t>
      </w:r>
      <w:r>
        <w:rPr>
          <w:sz w:val="20"/>
          <w:szCs w:val="20"/>
        </w:rPr>
        <w:t xml:space="preserve"> (lisa </w:t>
      </w:r>
      <w:r w:rsidR="0072778E">
        <w:rPr>
          <w:sz w:val="20"/>
          <w:szCs w:val="20"/>
        </w:rPr>
        <w:t>2</w:t>
      </w:r>
      <w:r>
        <w:rPr>
          <w:sz w:val="20"/>
          <w:szCs w:val="20"/>
        </w:rPr>
        <w:t>)</w:t>
      </w:r>
      <w:r w:rsidRPr="00A04547">
        <w:rPr>
          <w:sz w:val="20"/>
          <w:szCs w:val="20"/>
        </w:rPr>
        <w:t>.</w:t>
      </w:r>
    </w:p>
    <w:p w14:paraId="0A301CB6" w14:textId="48D58903" w:rsidR="00A04547" w:rsidRDefault="00A04547" w:rsidP="00A04547">
      <w:pPr>
        <w:rPr>
          <w:sz w:val="20"/>
          <w:szCs w:val="20"/>
        </w:rPr>
      </w:pPr>
      <w:r w:rsidRPr="00A04547">
        <w:rPr>
          <w:sz w:val="20"/>
          <w:szCs w:val="20"/>
        </w:rPr>
        <w:t xml:space="preserve">Vastav ravimiregistri registreering: </w:t>
      </w:r>
      <w:hyperlink r:id="rId8" w:history="1">
        <w:r w:rsidRPr="00A04547">
          <w:rPr>
            <w:rStyle w:val="Hyperlink"/>
            <w:sz w:val="20"/>
            <w:szCs w:val="20"/>
          </w:rPr>
          <w:t>https://www.ravimiregister.ee/default.aspx?pv=HumRavimid.Ravim&amp;vid=31edc30e-c715-40b5-bc35-d22485ff23e4</w:t>
        </w:r>
      </w:hyperlink>
      <w:r>
        <w:rPr>
          <w:sz w:val="20"/>
          <w:szCs w:val="20"/>
        </w:rPr>
        <w:t xml:space="preserve"> </w:t>
      </w:r>
    </w:p>
    <w:p w14:paraId="6FFDED5C" w14:textId="77777777" w:rsidR="00A04547" w:rsidRDefault="00A04547" w:rsidP="005053C2">
      <w:pPr>
        <w:jc w:val="both"/>
        <w:rPr>
          <w:sz w:val="20"/>
          <w:szCs w:val="20"/>
        </w:rPr>
      </w:pPr>
    </w:p>
    <w:p w14:paraId="517EB120" w14:textId="307C7AD3" w:rsidR="00A04547" w:rsidRDefault="00A04547" w:rsidP="00A045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Vastavalt </w:t>
      </w:r>
      <w:r w:rsidR="00CF49FF">
        <w:rPr>
          <w:sz w:val="20"/>
          <w:szCs w:val="20"/>
        </w:rPr>
        <w:t xml:space="preserve">plaanitavale </w:t>
      </w:r>
      <w:r>
        <w:rPr>
          <w:sz w:val="20"/>
          <w:szCs w:val="20"/>
        </w:rPr>
        <w:t>Tervisekassa ravimite loetelu ja ravimite piirhindade muudatuste</w:t>
      </w:r>
      <w:r w:rsidR="00CF49FF">
        <w:rPr>
          <w:sz w:val="20"/>
          <w:szCs w:val="20"/>
        </w:rPr>
        <w:t>le</w:t>
      </w:r>
      <w:r>
        <w:rPr>
          <w:sz w:val="20"/>
          <w:szCs w:val="20"/>
        </w:rPr>
        <w:t xml:space="preserve"> m</w:t>
      </w:r>
      <w:r w:rsidRPr="005053C2">
        <w:rPr>
          <w:sz w:val="20"/>
          <w:szCs w:val="20"/>
        </w:rPr>
        <w:t xml:space="preserve">oodustatakse </w:t>
      </w:r>
      <w:r w:rsidR="00CF49FF">
        <w:rPr>
          <w:sz w:val="20"/>
          <w:szCs w:val="20"/>
        </w:rPr>
        <w:t xml:space="preserve">1. oktoobrist 2024 </w:t>
      </w:r>
      <w:r w:rsidRPr="005053C2">
        <w:rPr>
          <w:sz w:val="20"/>
          <w:szCs w:val="20"/>
        </w:rPr>
        <w:t>esmakordselt piirhinnagrupp ja arvutatakse piirhinnad järgmist toimeainet sisaldavate ravimite gruppides:</w:t>
      </w:r>
      <w:r>
        <w:rPr>
          <w:sz w:val="20"/>
          <w:szCs w:val="20"/>
        </w:rPr>
        <w:t xml:space="preserve"> </w:t>
      </w:r>
    </w:p>
    <w:p w14:paraId="045DEA00" w14:textId="77777777" w:rsidR="00A04547" w:rsidRDefault="00A04547" w:rsidP="00A04547">
      <w:pPr>
        <w:jc w:val="both"/>
        <w:rPr>
          <w:sz w:val="20"/>
          <w:szCs w:val="20"/>
        </w:rPr>
      </w:pPr>
    </w:p>
    <w:p w14:paraId="21E6BF85" w14:textId="77777777" w:rsidR="00A04547" w:rsidRDefault="00A04547" w:rsidP="00A04547">
      <w:pPr>
        <w:jc w:val="both"/>
        <w:rPr>
          <w:sz w:val="20"/>
          <w:szCs w:val="20"/>
        </w:rPr>
      </w:pPr>
      <w:r w:rsidRPr="005053C2">
        <w:rPr>
          <w:b/>
          <w:bCs/>
          <w:sz w:val="20"/>
          <w:szCs w:val="20"/>
        </w:rPr>
        <w:t>- dimetüülfumaraat; </w:t>
      </w:r>
      <w:r w:rsidRPr="005053C2">
        <w:rPr>
          <w:sz w:val="20"/>
          <w:szCs w:val="20"/>
        </w:rPr>
        <w:t>ravimpreparaadid, mille kohta on sõlmitud hinnakokkulepe, on DIMETHYL FUMARATE STADA gastroresistentne kõvakapsel 120 mg N14 ja DIMETHYL FUMARATE STADA gastroresistentne kõvakapsel 240 mg N156</w:t>
      </w:r>
      <w:r>
        <w:rPr>
          <w:sz w:val="20"/>
          <w:szCs w:val="20"/>
        </w:rPr>
        <w:t>.</w:t>
      </w:r>
    </w:p>
    <w:p w14:paraId="752348BE" w14:textId="77777777" w:rsidR="00A04547" w:rsidRDefault="00A04547" w:rsidP="005053C2">
      <w:pPr>
        <w:jc w:val="both"/>
        <w:rPr>
          <w:sz w:val="20"/>
          <w:szCs w:val="20"/>
        </w:rPr>
      </w:pPr>
    </w:p>
    <w:p w14:paraId="0133410D" w14:textId="65FED403" w:rsidR="005053C2" w:rsidRDefault="00CF49FF" w:rsidP="005053C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Juhime teie tähelepanu asjaolule, et </w:t>
      </w:r>
      <w:r w:rsidR="003C0628" w:rsidRPr="003C0628">
        <w:rPr>
          <w:sz w:val="20"/>
          <w:szCs w:val="20"/>
        </w:rPr>
        <w:t>Euroopa Komisjon tegi 2. mail 2023 rakendusotsuse</w:t>
      </w:r>
      <w:r w:rsidR="003C0628">
        <w:rPr>
          <w:sz w:val="20"/>
          <w:szCs w:val="20"/>
        </w:rPr>
        <w:t xml:space="preserve"> (lisa </w:t>
      </w:r>
      <w:r w:rsidR="0072778E">
        <w:rPr>
          <w:sz w:val="20"/>
          <w:szCs w:val="20"/>
        </w:rPr>
        <w:t>3</w:t>
      </w:r>
      <w:r w:rsidR="003C0628">
        <w:rPr>
          <w:sz w:val="20"/>
          <w:szCs w:val="20"/>
        </w:rPr>
        <w:t>)</w:t>
      </w:r>
      <w:r w:rsidR="003C0628" w:rsidRPr="003C0628">
        <w:rPr>
          <w:sz w:val="20"/>
          <w:szCs w:val="20"/>
        </w:rPr>
        <w:t>, mille punktis (</w:t>
      </w:r>
      <w:r w:rsidR="00EF0A5C">
        <w:rPr>
          <w:sz w:val="20"/>
          <w:szCs w:val="20"/>
        </w:rPr>
        <w:t>6</w:t>
      </w:r>
      <w:r w:rsidR="003C0628" w:rsidRPr="003C0628">
        <w:rPr>
          <w:sz w:val="20"/>
          <w:szCs w:val="20"/>
        </w:rPr>
        <w:t>) tõde</w:t>
      </w:r>
      <w:r>
        <w:rPr>
          <w:sz w:val="20"/>
          <w:szCs w:val="20"/>
        </w:rPr>
        <w:t>ti</w:t>
      </w:r>
      <w:r w:rsidR="003C0628" w:rsidRPr="003C0628">
        <w:rPr>
          <w:sz w:val="20"/>
          <w:szCs w:val="20"/>
        </w:rPr>
        <w:t>, et 30. jaanuari 2014. aasta rakendusotsus on tervikuna kehtiv; ja mille artikliga 2 pikenda</w:t>
      </w:r>
      <w:r>
        <w:rPr>
          <w:sz w:val="20"/>
          <w:szCs w:val="20"/>
        </w:rPr>
        <w:t>ti</w:t>
      </w:r>
      <w:r w:rsidR="003C0628" w:rsidRPr="003C0628">
        <w:rPr>
          <w:sz w:val="20"/>
          <w:szCs w:val="20"/>
        </w:rPr>
        <w:t xml:space="preserve"> Tecfidera müügikaitseaega ühe aasta võrra. </w:t>
      </w:r>
      <w:r w:rsidR="003C0628" w:rsidRPr="00FD263D">
        <w:rPr>
          <w:sz w:val="20"/>
          <w:szCs w:val="20"/>
        </w:rPr>
        <w:t xml:space="preserve">Sellest tulenevalt kestab ravimi Tecfidera müügikaitseaeg Euroopa Liidus kuni </w:t>
      </w:r>
      <w:r w:rsidR="005104A8">
        <w:rPr>
          <w:sz w:val="20"/>
          <w:szCs w:val="20"/>
        </w:rPr>
        <w:t>2</w:t>
      </w:r>
      <w:r w:rsidR="003C0628" w:rsidRPr="00FD263D">
        <w:rPr>
          <w:sz w:val="20"/>
          <w:szCs w:val="20"/>
        </w:rPr>
        <w:t>. veebruarini 2025.a.</w:t>
      </w:r>
      <w:r w:rsidR="005104A8">
        <w:rPr>
          <w:sz w:val="20"/>
          <w:szCs w:val="20"/>
        </w:rPr>
        <w:t xml:space="preserve"> </w:t>
      </w:r>
      <w:r w:rsidR="005104A8" w:rsidRPr="005104A8">
        <w:rPr>
          <w:sz w:val="20"/>
          <w:szCs w:val="20"/>
        </w:rPr>
        <w:t xml:space="preserve">See </w:t>
      </w:r>
      <w:r w:rsidR="005104A8">
        <w:rPr>
          <w:sz w:val="20"/>
          <w:szCs w:val="20"/>
        </w:rPr>
        <w:t>müügikaitseaeg</w:t>
      </w:r>
      <w:r w:rsidR="005104A8" w:rsidRPr="005104A8">
        <w:rPr>
          <w:sz w:val="20"/>
          <w:szCs w:val="20"/>
        </w:rPr>
        <w:t xml:space="preserve"> tähendab, et Tecfidera geneerilisi koopiaid, näiteks ravimit D</w:t>
      </w:r>
      <w:r w:rsidR="005104A8">
        <w:rPr>
          <w:sz w:val="20"/>
          <w:szCs w:val="20"/>
        </w:rPr>
        <w:t>IMTEHYL FUMARATE</w:t>
      </w:r>
      <w:r w:rsidR="005104A8" w:rsidRPr="005104A8">
        <w:rPr>
          <w:sz w:val="20"/>
          <w:szCs w:val="20"/>
        </w:rPr>
        <w:t xml:space="preserve"> STADA, on keelatud turule viia enne </w:t>
      </w:r>
      <w:r w:rsidR="005104A8">
        <w:rPr>
          <w:sz w:val="20"/>
          <w:szCs w:val="20"/>
        </w:rPr>
        <w:t>müügikaitseaja</w:t>
      </w:r>
      <w:r w:rsidR="005104A8" w:rsidRPr="005104A8">
        <w:rPr>
          <w:sz w:val="20"/>
          <w:szCs w:val="20"/>
        </w:rPr>
        <w:t xml:space="preserve"> lõppemist 3. veebruaril 2025. aastal.</w:t>
      </w:r>
    </w:p>
    <w:p w14:paraId="6DE1726B" w14:textId="77777777" w:rsidR="003C0628" w:rsidRDefault="003C0628" w:rsidP="005053C2">
      <w:pPr>
        <w:jc w:val="both"/>
        <w:rPr>
          <w:sz w:val="20"/>
          <w:szCs w:val="20"/>
        </w:rPr>
      </w:pPr>
    </w:p>
    <w:p w14:paraId="05C5D831" w14:textId="50592CBE" w:rsidR="003C0628" w:rsidRDefault="003C0628" w:rsidP="005053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Sellest tulenevalt </w:t>
      </w:r>
      <w:r w:rsidR="005104A8">
        <w:rPr>
          <w:sz w:val="20"/>
          <w:szCs w:val="20"/>
        </w:rPr>
        <w:t>ei ole ravim</w:t>
      </w:r>
      <w:r>
        <w:rPr>
          <w:sz w:val="20"/>
          <w:szCs w:val="20"/>
        </w:rPr>
        <w:t xml:space="preserve"> </w:t>
      </w:r>
      <w:r w:rsidRPr="003C0628">
        <w:rPr>
          <w:sz w:val="20"/>
          <w:szCs w:val="20"/>
        </w:rPr>
        <w:t>DIMETHYL FUMARATE STADA</w:t>
      </w:r>
      <w:r>
        <w:rPr>
          <w:sz w:val="20"/>
          <w:szCs w:val="20"/>
        </w:rPr>
        <w:t xml:space="preserve"> </w:t>
      </w:r>
      <w:r w:rsidR="005104A8">
        <w:rPr>
          <w:sz w:val="20"/>
          <w:szCs w:val="20"/>
        </w:rPr>
        <w:t xml:space="preserve">seaduslikult turul kättesaadav ja seega ei ole see patsientidele kättesaadav. </w:t>
      </w:r>
      <w:r w:rsidR="005104A8" w:rsidRPr="005104A8">
        <w:rPr>
          <w:sz w:val="20"/>
          <w:szCs w:val="20"/>
        </w:rPr>
        <w:t xml:space="preserve">Seetõttu ei tohiks </w:t>
      </w:r>
      <w:r w:rsidR="005104A8">
        <w:rPr>
          <w:sz w:val="20"/>
          <w:szCs w:val="20"/>
        </w:rPr>
        <w:t xml:space="preserve">geneerilist </w:t>
      </w:r>
      <w:r w:rsidR="005104A8" w:rsidRPr="005104A8">
        <w:rPr>
          <w:sz w:val="20"/>
          <w:szCs w:val="20"/>
        </w:rPr>
        <w:t>ravimit lisada soodus</w:t>
      </w:r>
      <w:r w:rsidR="005104A8">
        <w:rPr>
          <w:sz w:val="20"/>
          <w:szCs w:val="20"/>
        </w:rPr>
        <w:t>määraga müüdavate ravimite</w:t>
      </w:r>
      <w:r w:rsidR="005104A8" w:rsidRPr="005104A8">
        <w:rPr>
          <w:sz w:val="20"/>
          <w:szCs w:val="20"/>
        </w:rPr>
        <w:t xml:space="preserve"> loetellu enne 3. veebruari 2025.</w:t>
      </w:r>
      <w:r>
        <w:rPr>
          <w:sz w:val="20"/>
          <w:szCs w:val="20"/>
        </w:rPr>
        <w:t xml:space="preserve"> </w:t>
      </w:r>
      <w:r w:rsidR="00354833" w:rsidRPr="00354833">
        <w:rPr>
          <w:sz w:val="20"/>
          <w:szCs w:val="20"/>
        </w:rPr>
        <w:t>Igasugune katse müüa ravimit D</w:t>
      </w:r>
      <w:r w:rsidR="00354833">
        <w:rPr>
          <w:sz w:val="20"/>
          <w:szCs w:val="20"/>
        </w:rPr>
        <w:t>IMETHYL</w:t>
      </w:r>
      <w:r w:rsidR="00354833" w:rsidRPr="00354833">
        <w:rPr>
          <w:sz w:val="20"/>
          <w:szCs w:val="20"/>
        </w:rPr>
        <w:t xml:space="preserve"> F</w:t>
      </w:r>
      <w:r w:rsidR="00354833">
        <w:rPr>
          <w:sz w:val="20"/>
          <w:szCs w:val="20"/>
        </w:rPr>
        <w:t>UMARATE</w:t>
      </w:r>
      <w:r w:rsidR="00354833" w:rsidRPr="00354833">
        <w:rPr>
          <w:sz w:val="20"/>
          <w:szCs w:val="20"/>
        </w:rPr>
        <w:t xml:space="preserve"> STADA enne </w:t>
      </w:r>
      <w:r w:rsidR="00354833">
        <w:rPr>
          <w:sz w:val="20"/>
          <w:szCs w:val="20"/>
        </w:rPr>
        <w:t>antud</w:t>
      </w:r>
      <w:r w:rsidR="00354833" w:rsidRPr="00354833">
        <w:rPr>
          <w:sz w:val="20"/>
          <w:szCs w:val="20"/>
        </w:rPr>
        <w:t xml:space="preserve"> kuupäeva rikuks Tecfidera suhtes kohaldatavat </w:t>
      </w:r>
      <w:r w:rsidR="00354833">
        <w:rPr>
          <w:sz w:val="20"/>
          <w:szCs w:val="20"/>
        </w:rPr>
        <w:t>müügikaitseaega</w:t>
      </w:r>
      <w:r w:rsidR="00354833" w:rsidRPr="00354833">
        <w:rPr>
          <w:sz w:val="20"/>
          <w:szCs w:val="20"/>
        </w:rPr>
        <w:t xml:space="preserve"> ja on seetõttu ebaseaduslik. Sellega seoses viita</w:t>
      </w:r>
      <w:r w:rsidR="00657F03">
        <w:rPr>
          <w:sz w:val="20"/>
          <w:szCs w:val="20"/>
        </w:rPr>
        <w:t>me</w:t>
      </w:r>
      <w:r w:rsidR="00354833" w:rsidRPr="00354833">
        <w:rPr>
          <w:sz w:val="20"/>
          <w:szCs w:val="20"/>
        </w:rPr>
        <w:t xml:space="preserve"> hiljuti Saksamaal tehtud kohtuotsusele, milles Saksamaa kohus keelas ravimpreparaadi D</w:t>
      </w:r>
      <w:r w:rsidR="00354833">
        <w:rPr>
          <w:sz w:val="20"/>
          <w:szCs w:val="20"/>
        </w:rPr>
        <w:t>IMETHYL FUMARATE</w:t>
      </w:r>
      <w:r w:rsidR="00354833" w:rsidRPr="00354833">
        <w:rPr>
          <w:sz w:val="20"/>
          <w:szCs w:val="20"/>
        </w:rPr>
        <w:t xml:space="preserve"> STADA turustamise Saksamaal põhjendusega, et selline turustamine rikuks Tecfidera </w:t>
      </w:r>
      <w:r w:rsidR="00354833">
        <w:rPr>
          <w:sz w:val="20"/>
          <w:szCs w:val="20"/>
        </w:rPr>
        <w:t>müügikaitseaega (lisa 4)</w:t>
      </w:r>
      <w:r w:rsidR="00657F03">
        <w:rPr>
          <w:sz w:val="20"/>
          <w:szCs w:val="20"/>
        </w:rPr>
        <w:t>.</w:t>
      </w:r>
      <w:r w:rsidR="00354833" w:rsidRPr="00354833">
        <w:rPr>
          <w:sz w:val="20"/>
          <w:szCs w:val="20"/>
        </w:rPr>
        <w:t xml:space="preserve"> Sama kehtib ka Eestis</w:t>
      </w:r>
      <w:r w:rsidRPr="003C0628">
        <w:rPr>
          <w:sz w:val="20"/>
          <w:szCs w:val="20"/>
        </w:rPr>
        <w:t>.</w:t>
      </w:r>
    </w:p>
    <w:p w14:paraId="42E779B0" w14:textId="77777777" w:rsidR="004762C3" w:rsidRDefault="004762C3" w:rsidP="005053C2">
      <w:pPr>
        <w:jc w:val="both"/>
        <w:rPr>
          <w:sz w:val="20"/>
          <w:szCs w:val="20"/>
        </w:rPr>
      </w:pPr>
    </w:p>
    <w:p w14:paraId="4FF35D9B" w14:textId="5EB223B3" w:rsidR="00354833" w:rsidRPr="00657F03" w:rsidRDefault="00354833" w:rsidP="00657F03">
      <w:pPr>
        <w:jc w:val="both"/>
        <w:rPr>
          <w:b/>
          <w:bCs/>
          <w:sz w:val="20"/>
          <w:szCs w:val="20"/>
        </w:rPr>
      </w:pPr>
      <w:r w:rsidRPr="00657F03">
        <w:rPr>
          <w:b/>
          <w:bCs/>
          <w:sz w:val="20"/>
          <w:szCs w:val="20"/>
        </w:rPr>
        <w:t>Seetõttu palume</w:t>
      </w:r>
      <w:r w:rsidR="00657F03" w:rsidRPr="00657F03">
        <w:rPr>
          <w:b/>
          <w:bCs/>
          <w:sz w:val="20"/>
          <w:szCs w:val="20"/>
        </w:rPr>
        <w:t xml:space="preserve">, </w:t>
      </w:r>
      <w:r w:rsidRPr="00657F03">
        <w:rPr>
          <w:b/>
          <w:bCs/>
          <w:sz w:val="20"/>
          <w:szCs w:val="20"/>
        </w:rPr>
        <w:t>et kõik geneerilise ravimi DIMETHYL FUMARATE STADA pakendid eemaldataks 01. oktoobril 2024. aastal muudetava soodusmääraga müüdavate ravimite loetelust</w:t>
      </w:r>
      <w:r w:rsidR="00657F03" w:rsidRPr="00657F03">
        <w:rPr>
          <w:b/>
          <w:bCs/>
          <w:sz w:val="20"/>
          <w:szCs w:val="20"/>
        </w:rPr>
        <w:t>.</w:t>
      </w:r>
    </w:p>
    <w:p w14:paraId="2AD35226" w14:textId="2C6F96A7" w:rsidR="005053C2" w:rsidRPr="00354833" w:rsidRDefault="00354833" w:rsidP="00354833">
      <w:pPr>
        <w:rPr>
          <w:sz w:val="20"/>
          <w:szCs w:val="20"/>
        </w:rPr>
      </w:pPr>
      <w:r w:rsidRPr="00354833">
        <w:rPr>
          <w:sz w:val="20"/>
          <w:szCs w:val="20"/>
        </w:rPr>
        <w:t xml:space="preserve">  </w:t>
      </w:r>
    </w:p>
    <w:p w14:paraId="14203903" w14:textId="62724D2F" w:rsidR="007E6206" w:rsidRPr="005053C2" w:rsidRDefault="00ED09A4" w:rsidP="007F56C0">
      <w:pPr>
        <w:tabs>
          <w:tab w:val="left" w:pos="3119"/>
        </w:tabs>
        <w:rPr>
          <w:sz w:val="20"/>
          <w:szCs w:val="20"/>
        </w:rPr>
      </w:pPr>
      <w:r w:rsidRPr="005053C2">
        <w:rPr>
          <w:sz w:val="20"/>
          <w:szCs w:val="20"/>
        </w:rPr>
        <w:t>Marko Aavik</w:t>
      </w:r>
    </w:p>
    <w:p w14:paraId="00565DBE" w14:textId="77777777" w:rsidR="00C204E6" w:rsidRDefault="00ED09A4" w:rsidP="00ED09A4">
      <w:pPr>
        <w:tabs>
          <w:tab w:val="left" w:pos="3119"/>
        </w:tabs>
        <w:rPr>
          <w:sz w:val="20"/>
          <w:szCs w:val="20"/>
        </w:rPr>
      </w:pPr>
      <w:r w:rsidRPr="005053C2">
        <w:rPr>
          <w:sz w:val="20"/>
          <w:szCs w:val="20"/>
        </w:rPr>
        <w:t>Vandeadvokaat</w:t>
      </w:r>
    </w:p>
    <w:p w14:paraId="0C22EC52" w14:textId="146FB41D" w:rsidR="00C03101" w:rsidRDefault="00C03101" w:rsidP="00ED09A4">
      <w:pPr>
        <w:tabs>
          <w:tab w:val="left" w:pos="3119"/>
        </w:tabs>
        <w:rPr>
          <w:sz w:val="20"/>
          <w:szCs w:val="20"/>
        </w:rPr>
      </w:pPr>
      <w:hyperlink r:id="rId9" w:history="1">
        <w:r w:rsidRPr="00D7174E">
          <w:rPr>
            <w:rStyle w:val="Hyperlink"/>
            <w:sz w:val="20"/>
            <w:szCs w:val="20"/>
          </w:rPr>
          <w:t>marko.aavik@klauberg.legal</w:t>
        </w:r>
      </w:hyperlink>
    </w:p>
    <w:p w14:paraId="1094E502" w14:textId="77777777" w:rsidR="00C03101" w:rsidRDefault="00C03101" w:rsidP="00ED09A4">
      <w:pPr>
        <w:tabs>
          <w:tab w:val="left" w:pos="3119"/>
        </w:tabs>
        <w:rPr>
          <w:sz w:val="20"/>
          <w:szCs w:val="20"/>
        </w:rPr>
      </w:pPr>
    </w:p>
    <w:p w14:paraId="5CC14E88" w14:textId="1B3BEF62" w:rsidR="003C0628" w:rsidRPr="00C204E6" w:rsidRDefault="00C204E6" w:rsidP="00ED09A4">
      <w:pPr>
        <w:tabs>
          <w:tab w:val="left" w:pos="3119"/>
        </w:tabs>
        <w:rPr>
          <w:i/>
          <w:iCs/>
          <w:sz w:val="20"/>
          <w:szCs w:val="20"/>
        </w:rPr>
      </w:pPr>
      <w:r w:rsidRPr="00C204E6">
        <w:rPr>
          <w:i/>
          <w:iCs/>
          <w:sz w:val="20"/>
          <w:szCs w:val="20"/>
        </w:rPr>
        <w:t>/digitaalselt allkirjastatud/</w:t>
      </w:r>
      <w:r w:rsidR="00ED09A4" w:rsidRPr="00C204E6">
        <w:rPr>
          <w:i/>
          <w:iCs/>
          <w:sz w:val="20"/>
          <w:szCs w:val="20"/>
        </w:rPr>
        <w:tab/>
      </w:r>
    </w:p>
    <w:p w14:paraId="25F2B9C3" w14:textId="77777777" w:rsidR="003C0628" w:rsidRDefault="003C0628" w:rsidP="003C0628">
      <w:pPr>
        <w:tabs>
          <w:tab w:val="left" w:pos="3119"/>
        </w:tabs>
        <w:rPr>
          <w:sz w:val="20"/>
          <w:szCs w:val="20"/>
        </w:rPr>
      </w:pPr>
    </w:p>
    <w:p w14:paraId="0B47CCD0" w14:textId="4F6B7421" w:rsidR="003C0628" w:rsidRDefault="003C0628" w:rsidP="003C0628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Lisad:</w:t>
      </w:r>
    </w:p>
    <w:p w14:paraId="29B296E3" w14:textId="0B52676F" w:rsidR="0072778E" w:rsidRDefault="0072778E" w:rsidP="003C0628">
      <w:pPr>
        <w:pStyle w:val="ListParagraph"/>
        <w:numPr>
          <w:ilvl w:val="0"/>
          <w:numId w:val="2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Tervisekassa 09.09.2024. a e-kiri</w:t>
      </w:r>
    </w:p>
    <w:p w14:paraId="1B002B3D" w14:textId="32A61CFB" w:rsidR="00A04547" w:rsidRDefault="00A04547" w:rsidP="003C0628">
      <w:pPr>
        <w:pStyle w:val="ListParagraph"/>
        <w:numPr>
          <w:ilvl w:val="0"/>
          <w:numId w:val="2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Ravimiregistri väljavõte TECFIDERA 03.02.2014.a müügiluba nr. EU/1/13/837</w:t>
      </w:r>
    </w:p>
    <w:p w14:paraId="72595869" w14:textId="77777777" w:rsidR="00354833" w:rsidRDefault="003C0628" w:rsidP="003C0628">
      <w:pPr>
        <w:pStyle w:val="ListParagraph"/>
        <w:numPr>
          <w:ilvl w:val="0"/>
          <w:numId w:val="2"/>
        </w:numPr>
        <w:tabs>
          <w:tab w:val="left" w:pos="3119"/>
        </w:tabs>
        <w:rPr>
          <w:sz w:val="20"/>
          <w:szCs w:val="20"/>
        </w:rPr>
      </w:pPr>
      <w:r w:rsidRPr="003C0628">
        <w:rPr>
          <w:sz w:val="20"/>
          <w:szCs w:val="20"/>
        </w:rPr>
        <w:t>Euroopa Komisjoni 02.05.2023. a rakendusotsus</w:t>
      </w:r>
    </w:p>
    <w:p w14:paraId="1FF88E67" w14:textId="11BAAC92" w:rsidR="00D024B0" w:rsidRPr="003C0628" w:rsidRDefault="00354833" w:rsidP="003C0628">
      <w:pPr>
        <w:pStyle w:val="ListParagraph"/>
        <w:numPr>
          <w:ilvl w:val="0"/>
          <w:numId w:val="2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Saksamaal 16.04.2024 tehtud kohtuotsus </w:t>
      </w:r>
    </w:p>
    <w:sectPr w:rsidR="00D024B0" w:rsidRPr="003C0628" w:rsidSect="0018448F">
      <w:headerReference w:type="default" r:id="rId10"/>
      <w:headerReference w:type="first" r:id="rId11"/>
      <w:pgSz w:w="11906" w:h="16838" w:code="9"/>
      <w:pgMar w:top="1145" w:right="964" w:bottom="1418" w:left="47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4A82F" w14:textId="77777777" w:rsidR="006B2D55" w:rsidRPr="005053C2" w:rsidRDefault="006B2D55" w:rsidP="00D024B0">
      <w:pPr>
        <w:spacing w:line="240" w:lineRule="auto"/>
      </w:pPr>
      <w:r w:rsidRPr="005053C2">
        <w:separator/>
      </w:r>
    </w:p>
  </w:endnote>
  <w:endnote w:type="continuationSeparator" w:id="0">
    <w:p w14:paraId="55B96AE4" w14:textId="77777777" w:rsidR="006B2D55" w:rsidRPr="005053C2" w:rsidRDefault="006B2D55" w:rsidP="00D024B0">
      <w:pPr>
        <w:spacing w:line="240" w:lineRule="auto"/>
      </w:pPr>
      <w:r w:rsidRPr="005053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26C73" w14:textId="77777777" w:rsidR="006B2D55" w:rsidRPr="005053C2" w:rsidRDefault="006B2D55" w:rsidP="00D024B0">
      <w:pPr>
        <w:spacing w:line="240" w:lineRule="auto"/>
      </w:pPr>
      <w:r w:rsidRPr="005053C2">
        <w:separator/>
      </w:r>
    </w:p>
  </w:footnote>
  <w:footnote w:type="continuationSeparator" w:id="0">
    <w:p w14:paraId="739BFDA8" w14:textId="77777777" w:rsidR="006B2D55" w:rsidRPr="005053C2" w:rsidRDefault="006B2D55" w:rsidP="00D024B0">
      <w:pPr>
        <w:spacing w:line="240" w:lineRule="auto"/>
      </w:pPr>
      <w:r w:rsidRPr="005053C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AA32" w14:textId="77777777" w:rsidR="00CF542B" w:rsidRPr="005053C2" w:rsidRDefault="00CF542B">
    <w:pPr>
      <w:pStyle w:val="Header"/>
    </w:pPr>
    <w:r w:rsidRPr="005053C2">
      <w:rPr>
        <w:noProof/>
        <w:lang w:eastAsia="lv-LV"/>
      </w:rPr>
      <w:drawing>
        <wp:anchor distT="0" distB="0" distL="114300" distR="114300" simplePos="0" relativeHeight="251657216" behindDoc="1" locked="0" layoutInCell="1" allowOverlap="1" wp14:anchorId="5C387166" wp14:editId="7C6330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Teil4 Kopi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2FED" w14:textId="77777777" w:rsidR="00D024B0" w:rsidRPr="005053C2" w:rsidRDefault="006C1365" w:rsidP="00DD6903">
    <w:pPr>
      <w:pStyle w:val="Header"/>
      <w:spacing w:after="1140"/>
    </w:pPr>
    <w:r w:rsidRPr="005053C2"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04427517" wp14:editId="42CE2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399" cy="10688648"/>
          <wp:effectExtent l="0" t="0" r="698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99" cy="10688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6712"/>
    <w:multiLevelType w:val="multilevel"/>
    <w:tmpl w:val="EC1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27C80"/>
    <w:multiLevelType w:val="hybridMultilevel"/>
    <w:tmpl w:val="9638843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55A4"/>
    <w:multiLevelType w:val="hybridMultilevel"/>
    <w:tmpl w:val="A56807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068342">
    <w:abstractNumId w:val="0"/>
  </w:num>
  <w:num w:numId="2" w16cid:durableId="185336620">
    <w:abstractNumId w:val="2"/>
  </w:num>
  <w:num w:numId="3" w16cid:durableId="50482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9E"/>
    <w:rsid w:val="000147EF"/>
    <w:rsid w:val="00022FC9"/>
    <w:rsid w:val="000E5A81"/>
    <w:rsid w:val="0018448F"/>
    <w:rsid w:val="00185519"/>
    <w:rsid w:val="001922CA"/>
    <w:rsid w:val="001C080F"/>
    <w:rsid w:val="001F2249"/>
    <w:rsid w:val="0021039E"/>
    <w:rsid w:val="00211145"/>
    <w:rsid w:val="00246FFF"/>
    <w:rsid w:val="002560E7"/>
    <w:rsid w:val="002A3D73"/>
    <w:rsid w:val="002D32BB"/>
    <w:rsid w:val="002F2E41"/>
    <w:rsid w:val="002F6484"/>
    <w:rsid w:val="002F7D7E"/>
    <w:rsid w:val="00301336"/>
    <w:rsid w:val="003121AB"/>
    <w:rsid w:val="00316A70"/>
    <w:rsid w:val="00354833"/>
    <w:rsid w:val="003849CE"/>
    <w:rsid w:val="0039717C"/>
    <w:rsid w:val="003A0569"/>
    <w:rsid w:val="003B290E"/>
    <w:rsid w:val="003C0628"/>
    <w:rsid w:val="003F4C80"/>
    <w:rsid w:val="0046622A"/>
    <w:rsid w:val="004762C3"/>
    <w:rsid w:val="0049616F"/>
    <w:rsid w:val="004E2D9E"/>
    <w:rsid w:val="005053C2"/>
    <w:rsid w:val="005104A8"/>
    <w:rsid w:val="00584651"/>
    <w:rsid w:val="00587C70"/>
    <w:rsid w:val="005D4FA2"/>
    <w:rsid w:val="005E03AA"/>
    <w:rsid w:val="00657F03"/>
    <w:rsid w:val="006709C8"/>
    <w:rsid w:val="006B0979"/>
    <w:rsid w:val="006B2D55"/>
    <w:rsid w:val="006C1365"/>
    <w:rsid w:val="0072778E"/>
    <w:rsid w:val="00734381"/>
    <w:rsid w:val="00762E15"/>
    <w:rsid w:val="00787F4C"/>
    <w:rsid w:val="007E3960"/>
    <w:rsid w:val="007E6206"/>
    <w:rsid w:val="007F56C0"/>
    <w:rsid w:val="00844428"/>
    <w:rsid w:val="008A0B50"/>
    <w:rsid w:val="008B09D5"/>
    <w:rsid w:val="0095110C"/>
    <w:rsid w:val="00963C9C"/>
    <w:rsid w:val="009D5B88"/>
    <w:rsid w:val="00A04547"/>
    <w:rsid w:val="00A7527F"/>
    <w:rsid w:val="00A80463"/>
    <w:rsid w:val="00A80BC1"/>
    <w:rsid w:val="00B444E9"/>
    <w:rsid w:val="00C03101"/>
    <w:rsid w:val="00C17257"/>
    <w:rsid w:val="00C204E6"/>
    <w:rsid w:val="00C857CD"/>
    <w:rsid w:val="00CF49FF"/>
    <w:rsid w:val="00CF542B"/>
    <w:rsid w:val="00D024B0"/>
    <w:rsid w:val="00D25B52"/>
    <w:rsid w:val="00D34F98"/>
    <w:rsid w:val="00D54844"/>
    <w:rsid w:val="00DB652D"/>
    <w:rsid w:val="00DC41FD"/>
    <w:rsid w:val="00DD6903"/>
    <w:rsid w:val="00E22A95"/>
    <w:rsid w:val="00E6277B"/>
    <w:rsid w:val="00EB6776"/>
    <w:rsid w:val="00ED09A4"/>
    <w:rsid w:val="00EF0A5C"/>
    <w:rsid w:val="00EF5391"/>
    <w:rsid w:val="00F10E0C"/>
    <w:rsid w:val="00F92397"/>
    <w:rsid w:val="00FB366E"/>
    <w:rsid w:val="00FD263D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897DF"/>
  <w15:chartTrackingRefBased/>
  <w15:docId w15:val="{5573E3E9-F595-4893-A090-B56C13A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0E"/>
    <w:pPr>
      <w:spacing w:after="0" w:line="240" w:lineRule="atLeast"/>
    </w:pPr>
    <w:rPr>
      <w:sz w:val="16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4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B0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D024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B0"/>
    <w:rPr>
      <w:sz w:val="16"/>
    </w:rPr>
  </w:style>
  <w:style w:type="table" w:styleId="TableGrid">
    <w:name w:val="Table Grid"/>
    <w:basedOn w:val="TableNormal"/>
    <w:uiPriority w:val="59"/>
    <w:rsid w:val="00DD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54844"/>
    <w:pPr>
      <w:spacing w:after="400" w:line="280" w:lineRule="atLeast"/>
      <w:contextualSpacing/>
    </w:pPr>
    <w:rPr>
      <w:spacing w:val="3"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sid w:val="00D54844"/>
    <w:rPr>
      <w:spacing w:val="3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C857CD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7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3C06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4547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CF49FF"/>
    <w:pPr>
      <w:spacing w:after="0" w:line="240" w:lineRule="auto"/>
    </w:pPr>
    <w:rPr>
      <w:sz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imiregister.ee/default.aspx?pv=HumRavimid.Ravim&amp;vid=31edc30e-c715-40b5-bc35-d22485ff23e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ina.siirus@tervisekass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o.aavik@klauberg.le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kumenti\JAMUNA\DARBS\KLIENTI\THEIS\KLAUBERG\Letterheads\Letterheads_12.2022_Igaunija\KLA_Letter_EN_Tallin.dotx" TargetMode="External"/></Relationships>
</file>

<file path=word/theme/theme1.xml><?xml version="1.0" encoding="utf-8"?>
<a:theme xmlns:a="http://schemas.openxmlformats.org/drawingml/2006/main" name="Larissa">
  <a:themeElements>
    <a:clrScheme name="Benutzerdefiniert 222">
      <a:dk1>
        <a:sysClr val="windowText" lastClr="000000"/>
      </a:dk1>
      <a:lt1>
        <a:sysClr val="window" lastClr="FFFFFF"/>
      </a:lt1>
      <a:dk2>
        <a:srgbClr val="BFBFBF"/>
      </a:dk2>
      <a:lt2>
        <a:srgbClr val="F2F2F2"/>
      </a:lt2>
      <a:accent1>
        <a:srgbClr val="938F72"/>
      </a:accent1>
      <a:accent2>
        <a:srgbClr val="725846"/>
      </a:accent2>
      <a:accent3>
        <a:srgbClr val="F47D4C"/>
      </a:accent3>
      <a:accent4>
        <a:srgbClr val="C6C0B8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enutzerdefinier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KLA_Letter_EN_Tallin.dotx</Template>
  <TotalTime>7</TotalTime>
  <Pages>2</Pages>
  <Words>503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Klauberg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 Aavik</cp:lastModifiedBy>
  <cp:revision>6</cp:revision>
  <dcterms:created xsi:type="dcterms:W3CDTF">2024-09-11T14:39:00Z</dcterms:created>
  <dcterms:modified xsi:type="dcterms:W3CDTF">2024-09-11T15:00:00Z</dcterms:modified>
</cp:coreProperties>
</file>